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2" w:rsidRDefault="00004501">
      <w:r w:rsidRPr="00004501">
        <w:drawing>
          <wp:inline distT="0" distB="0" distL="0" distR="0">
            <wp:extent cx="8162925" cy="51435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E5582" w:rsidSect="0000450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501"/>
    <w:rsid w:val="00004501"/>
    <w:rsid w:val="00246D2A"/>
    <w:rsid w:val="005E400F"/>
    <w:rsid w:val="009375FC"/>
    <w:rsid w:val="00943688"/>
    <w:rsid w:val="00A83AB7"/>
    <w:rsid w:val="00D202C9"/>
    <w:rsid w:val="00E2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55.207.60.88\internat\helenk\&#931;&#933;&#924;&#934;&#937;&#925;&#921;&#917;&#931;_ana%20etos\Charts_statistic_active_agreements\grafima_Symfonies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title>
      <c:tx>
        <c:rich>
          <a:bodyPr/>
          <a:lstStyle/>
          <a:p>
            <a:pPr>
              <a:defRPr sz="2400"/>
            </a:pPr>
            <a:r>
              <a:rPr lang="en-US" sz="1800" b="1" i="0" baseline="0">
                <a:effectLst/>
              </a:rPr>
              <a:t>Inter - University Agreements of Scientific Cooperation  - AUTh</a:t>
            </a:r>
            <a:endParaRPr lang="el-GR">
              <a:effectLst/>
            </a:endParaRPr>
          </a:p>
          <a:p>
            <a:pPr>
              <a:defRPr sz="2400"/>
            </a:pPr>
            <a:r>
              <a:rPr lang="en-US" sz="1800" b="1" i="0" baseline="0">
                <a:effectLst/>
              </a:rPr>
              <a:t>Dept. International Relations</a:t>
            </a:r>
            <a:endParaRPr lang="el-GR">
              <a:effectLst/>
            </a:endParaRPr>
          </a:p>
          <a:p>
            <a:pPr>
              <a:defRPr sz="2400"/>
            </a:pPr>
            <a:r>
              <a:rPr lang="en-US"/>
              <a:t>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[grafima_Symfonies_2016.xlsx]Sheet1!$B$1</c:f>
              <c:strCache>
                <c:ptCount val="1"/>
                <c:pt idx="0">
                  <c:v>Nr. Agreements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[grafima_Symfonies_2016.xlsx]Sheet1!$A$2:$A$44</c:f>
              <c:strCache>
                <c:ptCount val="43"/>
                <c:pt idx="0">
                  <c:v>Albania</c:v>
                </c:pt>
                <c:pt idx="1">
                  <c:v>Algeria</c:v>
                </c:pt>
                <c:pt idx="2">
                  <c:v>Armenia</c:v>
                </c:pt>
                <c:pt idx="3">
                  <c:v>Australia</c:v>
                </c:pt>
                <c:pt idx="4">
                  <c:v>Austria</c:v>
                </c:pt>
                <c:pt idx="5">
                  <c:v>Azerbaijan</c:v>
                </c:pt>
                <c:pt idx="6">
                  <c:v>Balkans</c:v>
                </c:pt>
                <c:pt idx="7">
                  <c:v>Belarus</c:v>
                </c:pt>
                <c:pt idx="8">
                  <c:v>Bosnia-Herzegovina</c:v>
                </c:pt>
                <c:pt idx="9">
                  <c:v>Brazil</c:v>
                </c:pt>
                <c:pt idx="10">
                  <c:v>Bulgaria</c:v>
                </c:pt>
                <c:pt idx="11">
                  <c:v>Canada</c:v>
                </c:pt>
                <c:pt idx="12">
                  <c:v>China</c:v>
                </c:pt>
                <c:pt idx="13">
                  <c:v>Cyprus</c:v>
                </c:pt>
                <c:pt idx="14">
                  <c:v>Czech Republic</c:v>
                </c:pt>
                <c:pt idx="15">
                  <c:v>Egypt</c:v>
                </c:pt>
                <c:pt idx="16">
                  <c:v>France</c:v>
                </c:pt>
                <c:pt idx="17">
                  <c:v>FYROM</c:v>
                </c:pt>
                <c:pt idx="18">
                  <c:v>Germany</c:v>
                </c:pt>
                <c:pt idx="19">
                  <c:v>Iran</c:v>
                </c:pt>
                <c:pt idx="20">
                  <c:v>Ireland</c:v>
                </c:pt>
                <c:pt idx="21">
                  <c:v>Israel
</c:v>
                </c:pt>
                <c:pt idx="22">
                  <c:v>Italy</c:v>
                </c:pt>
                <c:pt idx="23">
                  <c:v>Japan</c:v>
                </c:pt>
                <c:pt idx="24">
                  <c:v>Jordan</c:v>
                </c:pt>
                <c:pt idx="25">
                  <c:v>Kazakhstan</c:v>
                </c:pt>
                <c:pt idx="26">
                  <c:v>Malaysia</c:v>
                </c:pt>
                <c:pt idx="27">
                  <c:v>Mexico</c:v>
                </c:pt>
                <c:pt idx="28">
                  <c:v>Oman</c:v>
                </c:pt>
                <c:pt idx="29">
                  <c:v>Palestine</c:v>
                </c:pt>
                <c:pt idx="30">
                  <c:v>Poland</c:v>
                </c:pt>
                <c:pt idx="31">
                  <c:v>Romania</c:v>
                </c:pt>
                <c:pt idx="32">
                  <c:v>Russia</c:v>
                </c:pt>
                <c:pt idx="33">
                  <c:v>Saudi Arabia</c:v>
                </c:pt>
                <c:pt idx="34">
                  <c:v>Serbia</c:v>
                </c:pt>
                <c:pt idx="35">
                  <c:v>Slovakia</c:v>
                </c:pt>
                <c:pt idx="36">
                  <c:v>South Korea</c:v>
                </c:pt>
                <c:pt idx="37">
                  <c:v>Spain</c:v>
                </c:pt>
                <c:pt idx="38">
                  <c:v>Switzerland</c:v>
                </c:pt>
                <c:pt idx="39">
                  <c:v>Turkey</c:v>
                </c:pt>
                <c:pt idx="40">
                  <c:v>Ukraine</c:v>
                </c:pt>
                <c:pt idx="41">
                  <c:v>United Kingdom</c:v>
                </c:pt>
                <c:pt idx="42">
                  <c:v> USA</c:v>
                </c:pt>
              </c:strCache>
            </c:strRef>
          </c:cat>
          <c:val>
            <c:numRef>
              <c:f>[grafima_Symfonies_2016.xlsx]Sheet1!$B$2:$B$44</c:f>
              <c:numCache>
                <c:formatCode>General</c:formatCode>
                <c:ptCount val="43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3</c:v>
                </c:pt>
                <c:pt idx="12">
                  <c:v>10</c:v>
                </c:pt>
                <c:pt idx="13">
                  <c:v>5</c:v>
                </c:pt>
                <c:pt idx="14">
                  <c:v>1</c:v>
                </c:pt>
                <c:pt idx="15">
                  <c:v>1</c:v>
                </c:pt>
                <c:pt idx="16">
                  <c:v>4</c:v>
                </c:pt>
                <c:pt idx="17">
                  <c:v>1</c:v>
                </c:pt>
                <c:pt idx="18">
                  <c:v>7</c:v>
                </c:pt>
                <c:pt idx="19">
                  <c:v>1</c:v>
                </c:pt>
                <c:pt idx="20">
                  <c:v>1</c:v>
                </c:pt>
                <c:pt idx="21">
                  <c:v>3</c:v>
                </c:pt>
                <c:pt idx="22">
                  <c:v>6</c:v>
                </c:pt>
                <c:pt idx="23">
                  <c:v>3</c:v>
                </c:pt>
                <c:pt idx="24">
                  <c:v>1</c:v>
                </c:pt>
                <c:pt idx="25">
                  <c:v>3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5</c:v>
                </c:pt>
                <c:pt idx="31">
                  <c:v>8</c:v>
                </c:pt>
                <c:pt idx="32">
                  <c:v>16</c:v>
                </c:pt>
                <c:pt idx="33">
                  <c:v>1</c:v>
                </c:pt>
                <c:pt idx="34">
                  <c:v>5</c:v>
                </c:pt>
                <c:pt idx="35">
                  <c:v>2</c:v>
                </c:pt>
                <c:pt idx="36">
                  <c:v>3</c:v>
                </c:pt>
                <c:pt idx="37">
                  <c:v>2</c:v>
                </c:pt>
                <c:pt idx="38">
                  <c:v>1</c:v>
                </c:pt>
                <c:pt idx="39">
                  <c:v>7</c:v>
                </c:pt>
                <c:pt idx="40">
                  <c:v>5</c:v>
                </c:pt>
                <c:pt idx="41">
                  <c:v>2</c:v>
                </c:pt>
                <c:pt idx="42">
                  <c:v>17</c:v>
                </c:pt>
              </c:numCache>
            </c:numRef>
          </c:val>
        </c:ser>
        <c:gapWidth val="75"/>
        <c:overlap val="40"/>
        <c:axId val="72945664"/>
        <c:axId val="72947200"/>
      </c:barChart>
      <c:catAx>
        <c:axId val="72945664"/>
        <c:scaling>
          <c:orientation val="minMax"/>
        </c:scaling>
        <c:axPos val="b"/>
        <c:numFmt formatCode="General" sourceLinked="0"/>
        <c:majorTickMark val="none"/>
        <c:tickLblPos val="nextTo"/>
        <c:crossAx val="72947200"/>
        <c:crosses val="autoZero"/>
        <c:auto val="1"/>
        <c:lblAlgn val="ctr"/>
        <c:lblOffset val="100"/>
      </c:catAx>
      <c:valAx>
        <c:axId val="72947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9456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A.U.TH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2016-07-05T06:17:00Z</dcterms:created>
  <dcterms:modified xsi:type="dcterms:W3CDTF">2016-07-05T06:18:00Z</dcterms:modified>
</cp:coreProperties>
</file>